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0B13" w14:textId="5B764A2B" w:rsidR="00627E6E" w:rsidRPr="00EA08E3" w:rsidRDefault="0089201A">
      <w:pPr>
        <w:rPr>
          <w:b/>
          <w:bCs/>
        </w:rPr>
      </w:pPr>
      <w:r w:rsidRPr="00EA08E3">
        <w:rPr>
          <w:b/>
          <w:bCs/>
        </w:rPr>
        <w:t xml:space="preserve">Legge 30/12/2023, n. 213 One FISCALE Bilancio di previsione dello Stato per l'anno finanziario 2024 e bilancio pluriennale per il triennio 2024 2026. Pubblicata nella </w:t>
      </w:r>
      <w:proofErr w:type="spellStart"/>
      <w:r w:rsidRPr="00EA08E3">
        <w:rPr>
          <w:b/>
          <w:bCs/>
        </w:rPr>
        <w:t>Gazz</w:t>
      </w:r>
      <w:proofErr w:type="spellEnd"/>
      <w:r w:rsidRPr="00EA08E3">
        <w:rPr>
          <w:b/>
          <w:bCs/>
        </w:rPr>
        <w:t>. Uff. 30 dicembre 2023, n. 303, S.O.</w:t>
      </w:r>
    </w:p>
    <w:p w14:paraId="365BDBEE" w14:textId="77777777" w:rsidR="00C60161" w:rsidRDefault="00C60161" w:rsidP="00C60161">
      <w:pPr>
        <w:jc w:val="both"/>
      </w:pPr>
      <w:r w:rsidRPr="00C60161">
        <w:t xml:space="preserve">Bilancio di previsione dello Stato per l'anno finanziario 2024 e bilancio pluriennale per il triennio 2024 2026. Pubblicata nella </w:t>
      </w:r>
      <w:proofErr w:type="spellStart"/>
      <w:r w:rsidRPr="00C60161">
        <w:t>Gazz</w:t>
      </w:r>
      <w:proofErr w:type="spellEnd"/>
      <w:r w:rsidRPr="00C60161">
        <w:t xml:space="preserve">. Uff. 30 dicembre 2023, n. 303, S.O. </w:t>
      </w:r>
    </w:p>
    <w:p w14:paraId="4277DE90" w14:textId="52F8730B" w:rsidR="00AA47A6" w:rsidRDefault="00AA47A6" w:rsidP="00C60161">
      <w:pPr>
        <w:jc w:val="both"/>
      </w:pPr>
      <w:r>
        <w:t>…</w:t>
      </w:r>
    </w:p>
    <w:p w14:paraId="5EB1ED2B" w14:textId="684F3A2E" w:rsidR="00C60161" w:rsidRPr="00EA08E3" w:rsidRDefault="00C60161" w:rsidP="00C60161">
      <w:pPr>
        <w:jc w:val="both"/>
        <w:rPr>
          <w:b/>
          <w:bCs/>
        </w:rPr>
      </w:pPr>
      <w:r w:rsidRPr="00EA08E3">
        <w:rPr>
          <w:b/>
          <w:bCs/>
        </w:rPr>
        <w:t>Art. 1 - Comma 101. In vigore dal 28 dicembre 2024</w:t>
      </w:r>
    </w:p>
    <w:p w14:paraId="0A193531" w14:textId="77777777" w:rsidR="00EA08E3" w:rsidRPr="00EA08E3" w:rsidRDefault="00C60161" w:rsidP="00C60161">
      <w:pPr>
        <w:jc w:val="both"/>
        <w:rPr>
          <w:i/>
          <w:iCs/>
        </w:rPr>
      </w:pPr>
      <w:r w:rsidRPr="00C60161">
        <w:t xml:space="preserve">101. Le imprese con sede legale in Italia e </w:t>
      </w:r>
      <w:r w:rsidRPr="00880F79">
        <w:rPr>
          <w:highlight w:val="yellow"/>
        </w:rPr>
        <w:t>le imprese</w:t>
      </w:r>
      <w:r w:rsidRPr="00C60161">
        <w:t xml:space="preserve"> aventi sede legale all'estero con una stabile organizzazione in Italia, tenute all'iscrizione nel registro delle imprese ai sensi dell'articolo 2188 del codice civile, sono tenute a stipulare, entro il 31 marzo 2025[25], contratti assicurativi a </w:t>
      </w:r>
      <w:r w:rsidRPr="00EA08E3">
        <w:rPr>
          <w:highlight w:val="yellow"/>
        </w:rPr>
        <w:t>copertura dei danni ai beni di cui all'articolo 2424, primo comma, sezione Attivo, voce B II, numeri 1), 2) e 3), del codice civile direttamente cagionati da calamità naturali ed eventi catastrofali verificatisi sul territorio nazionale</w:t>
      </w:r>
      <w:r w:rsidRPr="00C60161">
        <w:t xml:space="preserve">. Per eventi da assicurare di cui al primo periodo si intendono </w:t>
      </w:r>
      <w:r w:rsidRPr="00366EB0">
        <w:rPr>
          <w:color w:val="FF0000"/>
        </w:rPr>
        <w:t>i sismi</w:t>
      </w:r>
      <w:r w:rsidRPr="00C60161">
        <w:t xml:space="preserve">, le </w:t>
      </w:r>
      <w:r w:rsidRPr="00366EB0">
        <w:rPr>
          <w:color w:val="FF0000"/>
        </w:rPr>
        <w:t>alluvion</w:t>
      </w:r>
      <w:r w:rsidRPr="00C60161">
        <w:t xml:space="preserve">i, le </w:t>
      </w:r>
      <w:r w:rsidRPr="00366EB0">
        <w:rPr>
          <w:color w:val="FF0000"/>
        </w:rPr>
        <w:t>frane</w:t>
      </w:r>
      <w:r w:rsidRPr="00C60161">
        <w:t xml:space="preserve">, le </w:t>
      </w:r>
      <w:r w:rsidRPr="00366EB0">
        <w:rPr>
          <w:color w:val="FF0000"/>
        </w:rPr>
        <w:t>inondazioni</w:t>
      </w:r>
      <w:r w:rsidRPr="00C60161">
        <w:t xml:space="preserve"> e le </w:t>
      </w:r>
      <w:r w:rsidRPr="00366EB0">
        <w:rPr>
          <w:color w:val="FF0000"/>
        </w:rPr>
        <w:t>esondazioni</w:t>
      </w:r>
      <w:r w:rsidRPr="00EA08E3">
        <w:t>.[24]</w:t>
      </w:r>
      <w:r w:rsidRPr="00EA08E3">
        <w:rPr>
          <w:i/>
          <w:iCs/>
        </w:rPr>
        <w:t xml:space="preserve"> </w:t>
      </w:r>
    </w:p>
    <w:p w14:paraId="58519D94" w14:textId="6CF4E59A" w:rsidR="00C60161" w:rsidRPr="00EA08E3" w:rsidRDefault="00C60161" w:rsidP="00C60161">
      <w:pPr>
        <w:jc w:val="both"/>
        <w:rPr>
          <w:i/>
          <w:iCs/>
        </w:rPr>
      </w:pPr>
      <w:r w:rsidRPr="00EA08E3">
        <w:rPr>
          <w:i/>
          <w:iCs/>
        </w:rPr>
        <w:t xml:space="preserve">Note: [24]Comma così modificato dall’art. 13, comma 1, D.L. 27 dicembre 2024, n. 202, convertito, con modificazioni, dalla L. 21 febbraio 2025, n. 15. [25]Per la proroga del presente termine per le imprese della pesca e dell’acquacoltura, vedi l’ art. 19, comma 1 quater, D.L. 27 dicembre 2024, n. 202, convertito, con modificazioni, dalla L. 21 febbraio 2025, n. 15. </w:t>
      </w:r>
    </w:p>
    <w:p w14:paraId="2C49A122" w14:textId="1FB75C03" w:rsidR="00C60161" w:rsidRPr="00880F79" w:rsidRDefault="00C60161" w:rsidP="00C60161">
      <w:pPr>
        <w:jc w:val="both"/>
        <w:rPr>
          <w:b/>
          <w:bCs/>
        </w:rPr>
      </w:pPr>
      <w:r w:rsidRPr="00880F79">
        <w:rPr>
          <w:b/>
          <w:bCs/>
        </w:rPr>
        <w:t xml:space="preserve">Art. 1 - Comma 102. In vigore dal 1 gennaio 2024 </w:t>
      </w:r>
    </w:p>
    <w:p w14:paraId="7C96CD21" w14:textId="79B83EAE" w:rsidR="00C60161" w:rsidRDefault="00C60161" w:rsidP="00C60161">
      <w:pPr>
        <w:jc w:val="both"/>
      </w:pPr>
      <w:r w:rsidRPr="00C60161">
        <w:t xml:space="preserve">102. Dell'inadempimento dell'obbligo di assicurazione da parte delle imprese di cui al comma 101 si deve tener conto nell'assegnazione di contributi, sovvenzioni o agevolazioni di carattere finanziario a valere su risorse pubbliche, anche con riferimento a quelle previste in occasione di eventi calamitosi e catastrofali. </w:t>
      </w:r>
    </w:p>
    <w:p w14:paraId="4DC33DF9" w14:textId="77777777" w:rsidR="00C9711E" w:rsidRPr="00880F79" w:rsidRDefault="00C60161" w:rsidP="00C60161">
      <w:pPr>
        <w:jc w:val="both"/>
        <w:rPr>
          <w:b/>
          <w:bCs/>
        </w:rPr>
      </w:pPr>
      <w:r w:rsidRPr="00880F79">
        <w:rPr>
          <w:b/>
          <w:bCs/>
        </w:rPr>
        <w:t xml:space="preserve">Art. 1 - Comma 103. In vigore dal 1 gennaio 2024 </w:t>
      </w:r>
    </w:p>
    <w:p w14:paraId="3D557726" w14:textId="77777777" w:rsidR="00C9711E" w:rsidRDefault="00C60161" w:rsidP="00C60161">
      <w:pPr>
        <w:jc w:val="both"/>
      </w:pPr>
      <w:r w:rsidRPr="00C60161">
        <w:t xml:space="preserve">103. Le imprese di assicurazione possono offrire tale copertura sia assumendo direttamente l'intero rischio, sia in coassicurazione, sia in forma consortile mediante una pluralità di imprese. In tale ultimo caso il consorzio deve essere registrato e approvato dall'Istituto per la vigilanza sulle assicurazioni (IVASS) che ne valuta la stabilità. </w:t>
      </w:r>
    </w:p>
    <w:p w14:paraId="3C317156" w14:textId="77777777" w:rsidR="00C9711E" w:rsidRPr="00880F79" w:rsidRDefault="00C60161" w:rsidP="00C60161">
      <w:pPr>
        <w:jc w:val="both"/>
        <w:rPr>
          <w:b/>
          <w:bCs/>
        </w:rPr>
      </w:pPr>
      <w:r w:rsidRPr="00880F79">
        <w:rPr>
          <w:b/>
          <w:bCs/>
        </w:rPr>
        <w:t xml:space="preserve">Art. 1 - Comma 104. In vigore dal 1 gennaio 2024 </w:t>
      </w:r>
    </w:p>
    <w:p w14:paraId="585D11CC" w14:textId="77777777" w:rsidR="00C9711E" w:rsidRDefault="00C60161" w:rsidP="00C60161">
      <w:pPr>
        <w:jc w:val="both"/>
      </w:pPr>
      <w:r w:rsidRPr="00C60161">
        <w:t xml:space="preserve">104. Ai fini dell'adempimento dell'obbligo di assicurazione di cui al comma 101 il contratto prevede un eventuale scoperto o franchigia non superiore al 15 per cento del danno e l'applicazione di premi proporzionali al rischio. </w:t>
      </w:r>
    </w:p>
    <w:p w14:paraId="35D3C1C6" w14:textId="77777777" w:rsidR="00C9711E" w:rsidRPr="00880F79" w:rsidRDefault="00C60161" w:rsidP="00C60161">
      <w:pPr>
        <w:jc w:val="both"/>
        <w:rPr>
          <w:b/>
          <w:bCs/>
        </w:rPr>
      </w:pPr>
      <w:r w:rsidRPr="00880F79">
        <w:rPr>
          <w:b/>
          <w:bCs/>
        </w:rPr>
        <w:t xml:space="preserve">Art. 1 - Comma 105. In vigore dal 1 gennaio 2024 </w:t>
      </w:r>
    </w:p>
    <w:p w14:paraId="0C34D167" w14:textId="0077B742" w:rsidR="00BA7A81" w:rsidRDefault="00C60161" w:rsidP="00C60161">
      <w:pPr>
        <w:jc w:val="both"/>
      </w:pPr>
      <w:r w:rsidRPr="00C60161">
        <w:t xml:space="preserve">105. Con decreto del Ministro dell'economia e delle finanze e del Ministro delle imprese e del made in </w:t>
      </w:r>
      <w:proofErr w:type="spellStart"/>
      <w:r w:rsidRPr="00C60161">
        <w:t>Italy</w:t>
      </w:r>
      <w:proofErr w:type="spellEnd"/>
      <w:r w:rsidRPr="00C60161">
        <w:t xml:space="preserve"> possono essere stabilite ulteriori modalità attuative e operative degli schemi di assicurazione d</w:t>
      </w:r>
      <w:r w:rsidR="00C9711E">
        <w:t xml:space="preserve">i </w:t>
      </w:r>
      <w:r w:rsidR="00C9711E" w:rsidRPr="00C9711E">
        <w:t>cui ai commi da 101 a 107, ivi incluse le modalità di individuazione degli eventi calamitosi e catastrofali suscettibili di indennizzo nonché di determinazione e adeguamento periodico dei premi anche tenuto conto del principio di mutualità e, sentito l'IVASS, le modalità di coordinamento rispetto ai vigenti atti di regolazione e vigilanza prudenziale in materia assicurativa anche con riferimento ai limiti della capacità di assunzione del rischio da parte delle imprese o del consorzio di cui al comma 103, e possono essere aggiornati i valori di cui al comma 104.[26] Note: [26]In attuazione di quanto disposto dal presente comma vedi il D.M. 30 gennaio 2025, n. 18</w:t>
      </w:r>
    </w:p>
    <w:p w14:paraId="0499280E" w14:textId="77777777" w:rsidR="008D17B7" w:rsidRPr="008D17B7" w:rsidRDefault="00C9711E" w:rsidP="00C60161">
      <w:pPr>
        <w:jc w:val="both"/>
        <w:rPr>
          <w:b/>
          <w:bCs/>
        </w:rPr>
      </w:pPr>
      <w:r w:rsidRPr="008D17B7">
        <w:rPr>
          <w:b/>
          <w:bCs/>
        </w:rPr>
        <w:t xml:space="preserve">Art. 1 - Comma 105-bis. In vigore dal 18 dicembre 2024 </w:t>
      </w:r>
    </w:p>
    <w:p w14:paraId="27177B0F" w14:textId="77777777" w:rsidR="008D17B7" w:rsidRDefault="00C9711E" w:rsidP="00C60161">
      <w:pPr>
        <w:jc w:val="both"/>
      </w:pPr>
      <w:r w:rsidRPr="00C9711E">
        <w:lastRenderedPageBreak/>
        <w:t xml:space="preserve">105-bis. Al fine di favorire una scelta consapevole e informata da parte delle imprese soggette all'obbligo di cui al comma 101, l'IVASS gestisce, anche attraverso la piattaforma informatica già disponibile per la comparazione delle offerte di contratti di assicurazione per la responsabilità civile connessa alla circolazione degli autoveicoli, un portale informatico che consente di comparare in modo trasparente i contratti assicurativi offerti dalle imprese di assicurazione. Ciascuna impresa di assicurazione immette nel portale di cui al primo periodo il contratto assicurativo, conforme alle prescrizioni di cui ai commi da 101 a 107, indicando le condizioni generali, l'estensione delle coperture e le eventuali esclusioni e limitazioni. Con decreto del Ministro delle imprese e del made in </w:t>
      </w:r>
      <w:proofErr w:type="spellStart"/>
      <w:r w:rsidRPr="00C9711E">
        <w:t>Italy</w:t>
      </w:r>
      <w:proofErr w:type="spellEnd"/>
      <w:r w:rsidRPr="00C9711E">
        <w:t xml:space="preserve">, su proposta dell'IVASS, sono stabilite le disposizioni attuative del presente comma.[27] </w:t>
      </w:r>
    </w:p>
    <w:p w14:paraId="74C01EA6" w14:textId="77777777" w:rsidR="008D17B7" w:rsidRPr="008D17B7" w:rsidRDefault="00C9711E" w:rsidP="00C60161">
      <w:pPr>
        <w:jc w:val="both"/>
        <w:rPr>
          <w:i/>
          <w:iCs/>
        </w:rPr>
      </w:pPr>
      <w:r w:rsidRPr="008D17B7">
        <w:rPr>
          <w:i/>
          <w:iCs/>
        </w:rPr>
        <w:t xml:space="preserve">Note: [27]Comma inserito dall’art. 22, comma 1, L. 16 dicembre 2024, n. 193, a decorrere dal 18 dicembre 2024, ai sensi di quanto disposto dall’art. 40, comma 1, della medesima L. n. 193/2024. Art. 1 - Comma 106. In vigore dal 1 gennaio 2024 106. In caso di accertamento di violazione o elusione dell'obbligo a contrarre, anche in sede di rinnovo, l'IVASS provvede a irrogare le sanzioni di cui al comma 107. L'obbligo di cui al comma 101 non si applica alle imprese i cui beni immobili risultino gravati da abuso edilizio o costruiti in carenza delle autorizzazioni previste, ovvero gravati da abuso sorto successivamente alla data di costruzione. Art. 1 - Comma 107. In vigore dal 1 gennaio 2024 107. Il rifiuto o l'elusione dell'obbligo a contrarre da parte delle imprese di assicurazione è punito con la sanzione amministrativa pecuniaria da euro 100.000 a euro 500.000. </w:t>
      </w:r>
    </w:p>
    <w:p w14:paraId="77547B3F" w14:textId="77777777" w:rsidR="008D17B7" w:rsidRPr="008D17B7" w:rsidRDefault="00C9711E" w:rsidP="00C60161">
      <w:pPr>
        <w:jc w:val="both"/>
        <w:rPr>
          <w:b/>
          <w:bCs/>
        </w:rPr>
      </w:pPr>
      <w:r w:rsidRPr="008D17B7">
        <w:rPr>
          <w:b/>
          <w:bCs/>
        </w:rPr>
        <w:t xml:space="preserve">Art. 1 - Comma 108. In vigore dal 1 gennaio 2024 </w:t>
      </w:r>
    </w:p>
    <w:p w14:paraId="17D0A70E" w14:textId="0964B3DB" w:rsidR="00C9711E" w:rsidRDefault="00C9711E" w:rsidP="00C60161">
      <w:pPr>
        <w:jc w:val="both"/>
      </w:pPr>
      <w:r w:rsidRPr="00C9711E">
        <w:t>108. Al fine di contribuire all'efficace gestione del portafoglio gestito dalle compagnie assicurative per la copertura dei danni di cui al comma 101, la società SACE S.p.A. è autorizzata a concedere a condizioni di mercato, in favore degli assicuratori e riassicuratori del mercato privato, mediante apposita convenzione approvata con il decreto di cui al comma 105, una copertura fino al 50 per cento degli indennizzi a cui i medesimi sono tenuti a fronte del verificarsi degli eventi di danno dedotti in contratto e comunque non superiore a 5.000 milioni di euro per l'anno 2024 e, per ciascuno degli anni 2025 e 2026, non superiore all'importo maggiore tra 5.000 milioni di euro e le risorse libere, al 31 dicembre dell'anno immediatamente precedente, non impiegate per il pagamento degli indennizzi nell'anno di riferimento e disponibili sulla contabilità della sezione speciale del Fondo di cui al comm</w:t>
      </w:r>
      <w:r>
        <w:t>a 110.</w:t>
      </w:r>
    </w:p>
    <w:p w14:paraId="46E444D8" w14:textId="77777777" w:rsidR="00C9711E" w:rsidRPr="00F94FEE" w:rsidRDefault="00C9711E" w:rsidP="00C60161">
      <w:pPr>
        <w:jc w:val="both"/>
        <w:rPr>
          <w:b/>
          <w:bCs/>
        </w:rPr>
      </w:pPr>
      <w:r w:rsidRPr="00F94FEE">
        <w:rPr>
          <w:b/>
          <w:bCs/>
        </w:rPr>
        <w:t xml:space="preserve">Art. 1 - Comma 109. In vigore dal 1 gennaio 2024 </w:t>
      </w:r>
    </w:p>
    <w:p w14:paraId="1A0D1DDA" w14:textId="77777777" w:rsidR="00C9711E" w:rsidRDefault="00C9711E" w:rsidP="00C60161">
      <w:pPr>
        <w:jc w:val="both"/>
      </w:pPr>
      <w:r w:rsidRPr="00C9711E">
        <w:t>109. Sulle obbligazioni della SACE S.p.A. derivanti dalle coperture di cui al comma 108 è accordata di diritto la garanzia dello Stato a prima richiesta e senza regresso, la cui operatività è registrata dalla SACE S.p.A. con gestione separata. La garanzia dello Stato è esplicita, incondizionata, irrevocabile. Gli impegni assunti dallo Stato ai sensi del presente comma sono computati ai fini della verifica del rispetto del limite di cui al primo periodo del comma 267.</w:t>
      </w:r>
    </w:p>
    <w:p w14:paraId="7D27D932" w14:textId="1A4F5F80" w:rsidR="00C9711E" w:rsidRPr="00F94FEE" w:rsidRDefault="00C9711E" w:rsidP="00C60161">
      <w:pPr>
        <w:jc w:val="both"/>
        <w:rPr>
          <w:b/>
          <w:bCs/>
        </w:rPr>
      </w:pPr>
      <w:r w:rsidRPr="00F94FEE">
        <w:rPr>
          <w:b/>
          <w:bCs/>
        </w:rPr>
        <w:t xml:space="preserve">Art. 1 - Comma 110. In vigore dal 1 gennaio 2024 </w:t>
      </w:r>
    </w:p>
    <w:p w14:paraId="43F492B0" w14:textId="77777777" w:rsidR="00C9711E" w:rsidRDefault="00C9711E" w:rsidP="00C60161">
      <w:pPr>
        <w:jc w:val="both"/>
      </w:pPr>
      <w:r w:rsidRPr="00C9711E">
        <w:t xml:space="preserve">110 . Per le finalità di cui ai commi 108 e 109 è istituita nell'ambito del Fondo di cui all'articolo 1, comma 14, del decreto-legge 8 aprile 2020, n. 23, convertito, con modificazioni, dalla legge 5 giugno 2020, n. 40, e delle risorse ivi disponibili alla data del 1° gennaio 2024, una sezione speciale, con autonoma evidenza contabile, con una dotazione iniziale di 5 miliardi di euro, alimentata altresì con le risorse finanziarie versate periodicamente dalle imprese di assicurazione alla SACE S.p.A. al netto degli oneri gestionali connessi alle coperture assicurative, come risultanti dalla contabilità della SACE S.p.A., salvo conguaglio all'esito dell'approvazione del bilancio di esercizio dell'anno di riferimento, e al netto delle commissioni riconosciute alle stesse imprese di assicurazione. </w:t>
      </w:r>
    </w:p>
    <w:p w14:paraId="22DC4489" w14:textId="1CF61B72" w:rsidR="00C9711E" w:rsidRPr="00F94FEE" w:rsidRDefault="00C9711E" w:rsidP="00C60161">
      <w:pPr>
        <w:jc w:val="both"/>
        <w:rPr>
          <w:b/>
          <w:bCs/>
        </w:rPr>
      </w:pPr>
      <w:r w:rsidRPr="00F94FEE">
        <w:rPr>
          <w:b/>
          <w:bCs/>
        </w:rPr>
        <w:t xml:space="preserve">Art. 1 - Comma 111. In vigore dal 1 gennaio 2024 </w:t>
      </w:r>
    </w:p>
    <w:p w14:paraId="7B1A97B3" w14:textId="669FCF18" w:rsidR="00C9711E" w:rsidRDefault="00C9711E" w:rsidP="00C60161">
      <w:pPr>
        <w:jc w:val="both"/>
      </w:pPr>
      <w:r w:rsidRPr="00C9711E">
        <w:lastRenderedPageBreak/>
        <w:t>111 . Le disposizioni di cui ai commi da 101 a 110 non si applicano alle imprese di cui all'articolo del codice civile, per le quali resta fermo quanto stabilito dall'articolo 1, commi 515 e seguenti, della legge 30 dicembre 2021, n. 234</w:t>
      </w:r>
      <w:r w:rsidR="00CB1139">
        <w:t>.</w:t>
      </w:r>
    </w:p>
    <w:p w14:paraId="5146E11E" w14:textId="0C98ACA7" w:rsidR="00C9711E" w:rsidRDefault="00366EB0" w:rsidP="00C60161">
      <w:pPr>
        <w:jc w:val="both"/>
      </w:pPr>
      <w:r>
        <w:t>…</w:t>
      </w:r>
    </w:p>
    <w:p w14:paraId="60E20356" w14:textId="77777777" w:rsidR="00A11022" w:rsidRDefault="00A11022" w:rsidP="00C60161">
      <w:pPr>
        <w:jc w:val="both"/>
      </w:pPr>
    </w:p>
    <w:p w14:paraId="3BEF6B6D" w14:textId="77777777" w:rsidR="00A11022" w:rsidRPr="00A11022" w:rsidRDefault="00A11022" w:rsidP="00A11022">
      <w:pPr>
        <w:spacing w:after="120" w:line="240" w:lineRule="auto"/>
        <w:jc w:val="both"/>
        <w:rPr>
          <w:b/>
          <w:bCs/>
        </w:rPr>
      </w:pPr>
      <w:r w:rsidRPr="00A11022">
        <w:rPr>
          <w:b/>
          <w:bCs/>
        </w:rPr>
        <w:t>Decreto legge 19/10/2024, n. 155</w:t>
      </w:r>
    </w:p>
    <w:p w14:paraId="6E66DEF8" w14:textId="2A5E41BE" w:rsidR="00A11022" w:rsidRPr="00A11022" w:rsidRDefault="00A11022" w:rsidP="00A11022">
      <w:pPr>
        <w:spacing w:after="120" w:line="240" w:lineRule="auto"/>
        <w:jc w:val="both"/>
      </w:pPr>
      <w:r w:rsidRPr="00A11022">
        <w:t>Misure urgenti in materia economica e fiscale e in favore degli enti territoriali.</w:t>
      </w:r>
      <w:r>
        <w:t xml:space="preserve"> </w:t>
      </w:r>
      <w:r w:rsidRPr="00A11022">
        <w:t xml:space="preserve">Pubblicato nella </w:t>
      </w:r>
      <w:proofErr w:type="spellStart"/>
      <w:r w:rsidRPr="00A11022">
        <w:t>Gazz</w:t>
      </w:r>
      <w:proofErr w:type="spellEnd"/>
      <w:r w:rsidRPr="00A11022">
        <w:t>. Uff. 19 ottobre 2024, n. 246.</w:t>
      </w:r>
    </w:p>
    <w:p w14:paraId="7B84D53D" w14:textId="77777777" w:rsidR="00A11022" w:rsidRPr="00A11022" w:rsidRDefault="00A11022" w:rsidP="00A11022">
      <w:pPr>
        <w:jc w:val="both"/>
      </w:pPr>
      <w:r w:rsidRPr="00A11022">
        <w:rPr>
          <w:b/>
          <w:bCs/>
        </w:rPr>
        <w:t xml:space="preserve">Art. 1-bis. Disposizioni finanziarie per la gestione delle emergenze </w:t>
      </w:r>
      <w:r w:rsidRPr="00A11022">
        <w:t>[7]</w:t>
      </w:r>
    </w:p>
    <w:p w14:paraId="31F57CD2" w14:textId="77777777" w:rsidR="00A11022" w:rsidRPr="00A11022" w:rsidRDefault="00A11022" w:rsidP="00A11022">
      <w:pPr>
        <w:jc w:val="both"/>
      </w:pPr>
      <w:r w:rsidRPr="00A11022">
        <w:t>In vigore dal 13 dicembre 2024</w:t>
      </w:r>
    </w:p>
    <w:p w14:paraId="67A24FA0" w14:textId="7D0CCF31" w:rsidR="00A11022" w:rsidRPr="00A11022" w:rsidRDefault="00A11022" w:rsidP="00A11022">
      <w:pPr>
        <w:jc w:val="both"/>
      </w:pPr>
      <w:r w:rsidRPr="00A11022">
        <w:t>1. Le risorse disponibili nell'ambito del bilancio autonomo della Presidenza del Consiglio dei ministri</w:t>
      </w:r>
      <w:r>
        <w:t xml:space="preserve"> </w:t>
      </w:r>
      <w:r w:rsidRPr="00A11022">
        <w:t xml:space="preserve">a valere sull'autorizzazione di spesa di cui all'articolo 21, comma 9, del </w:t>
      </w:r>
      <w:proofErr w:type="spellStart"/>
      <w:r w:rsidRPr="00A11022">
        <w:t>decretolegge</w:t>
      </w:r>
      <w:proofErr w:type="spellEnd"/>
      <w:r>
        <w:t xml:space="preserve"> </w:t>
      </w:r>
      <w:r w:rsidRPr="00A11022">
        <w:t>18 ottobre 2023, n. 145, convertito, con modificazioni, dalla legge 15 dicembre 2023, n. 191,</w:t>
      </w:r>
      <w:r>
        <w:t xml:space="preserve"> </w:t>
      </w:r>
      <w:r w:rsidRPr="00A11022">
        <w:t>possono essere utilizzate, nel limite di 44 milioni di euro per l'anno 2024, per le finalità di cui agli</w:t>
      </w:r>
      <w:r>
        <w:t xml:space="preserve"> </w:t>
      </w:r>
      <w:r w:rsidRPr="00A11022">
        <w:t>articoli 23, 24 e 29 del codice della protezione civile, di cui al decreto legislativo 2 gennaio 2018,</w:t>
      </w:r>
      <w:r>
        <w:t xml:space="preserve"> </w:t>
      </w:r>
      <w:r w:rsidRPr="00A11022">
        <w:t>n. 1.</w:t>
      </w:r>
    </w:p>
    <w:p w14:paraId="4CF8A872" w14:textId="7F856133" w:rsidR="00A11022" w:rsidRPr="00A11022" w:rsidRDefault="00A11022" w:rsidP="00A11022">
      <w:pPr>
        <w:jc w:val="both"/>
        <w:rPr>
          <w:color w:val="FF0000"/>
        </w:rPr>
      </w:pPr>
      <w:r w:rsidRPr="00A11022">
        <w:t xml:space="preserve">2 . </w:t>
      </w:r>
      <w:r w:rsidRPr="00A11022">
        <w:rPr>
          <w:highlight w:val="yellow"/>
        </w:rPr>
        <w:t>L'oggetto della copertura assicurativa</w:t>
      </w:r>
      <w:r w:rsidRPr="00A11022">
        <w:t xml:space="preserve"> di cui</w:t>
      </w:r>
      <w:r>
        <w:t xml:space="preserve"> </w:t>
      </w:r>
      <w:r w:rsidRPr="00A11022">
        <w:t>all'articolo 1, comma 101, primo periodo, della legge 30 dicembre 2023, n. 213, è riferito ai beni elencati</w:t>
      </w:r>
      <w:r>
        <w:t xml:space="preserve"> </w:t>
      </w:r>
      <w:r w:rsidRPr="00A11022">
        <w:t xml:space="preserve">dall'articolo 2424, primo comma, sezione Attivo, voce B-II, numeri 1), 2) e 3), del codice civile, </w:t>
      </w:r>
      <w:r w:rsidRPr="00A11022">
        <w:rPr>
          <w:highlight w:val="yellow"/>
        </w:rPr>
        <w:t>a</w:t>
      </w:r>
      <w:r w:rsidRPr="00A11022">
        <w:rPr>
          <w:highlight w:val="yellow"/>
        </w:rPr>
        <w:t xml:space="preserve"> </w:t>
      </w:r>
      <w:r w:rsidRPr="00A11022">
        <w:rPr>
          <w:highlight w:val="yellow"/>
        </w:rPr>
        <w:t>qualsiasi titolo impiegati</w:t>
      </w:r>
      <w:r w:rsidRPr="00A11022">
        <w:t xml:space="preserve"> per l'esercizio dell'attività di impresa, </w:t>
      </w:r>
      <w:r w:rsidRPr="00A11022">
        <w:rPr>
          <w:color w:val="FF0000"/>
        </w:rPr>
        <w:t>con esclusione di quelli già assistiti da</w:t>
      </w:r>
      <w:r w:rsidRPr="008B2A29">
        <w:rPr>
          <w:color w:val="FF0000"/>
        </w:rPr>
        <w:t xml:space="preserve"> </w:t>
      </w:r>
      <w:r w:rsidRPr="00A11022">
        <w:rPr>
          <w:color w:val="FF0000"/>
        </w:rPr>
        <w:t>analoga copertura assicurativa, anche se stipulata da soggetti diversi dall' imprenditore che impiega i</w:t>
      </w:r>
      <w:r w:rsidRPr="008B2A29">
        <w:rPr>
          <w:color w:val="FF0000"/>
        </w:rPr>
        <w:t xml:space="preserve"> </w:t>
      </w:r>
      <w:r w:rsidRPr="00A11022">
        <w:rPr>
          <w:color w:val="FF0000"/>
        </w:rPr>
        <w:t>beni.</w:t>
      </w:r>
    </w:p>
    <w:p w14:paraId="7A62F8E6" w14:textId="77777777" w:rsidR="00A11022" w:rsidRPr="00A11022" w:rsidRDefault="00A11022" w:rsidP="00A11022">
      <w:pPr>
        <w:jc w:val="both"/>
      </w:pPr>
      <w:r w:rsidRPr="00A11022">
        <w:t>Note:</w:t>
      </w:r>
    </w:p>
    <w:p w14:paraId="6FFD9CFB" w14:textId="41F38771" w:rsidR="00A11022" w:rsidRDefault="00A11022" w:rsidP="00A11022">
      <w:pPr>
        <w:jc w:val="both"/>
      </w:pPr>
      <w:r w:rsidRPr="00A11022">
        <w:t>[7]Articolo inserito dalla legge di conversione 9 dicembre 2024, n. 189.</w:t>
      </w:r>
    </w:p>
    <w:sectPr w:rsidR="00A110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D"/>
    <w:rsid w:val="0009194D"/>
    <w:rsid w:val="00366EB0"/>
    <w:rsid w:val="003A3175"/>
    <w:rsid w:val="004F5341"/>
    <w:rsid w:val="006273F7"/>
    <w:rsid w:val="00627E6E"/>
    <w:rsid w:val="00661001"/>
    <w:rsid w:val="00880F79"/>
    <w:rsid w:val="0089201A"/>
    <w:rsid w:val="008B2A29"/>
    <w:rsid w:val="008D17B7"/>
    <w:rsid w:val="00966C87"/>
    <w:rsid w:val="00A05075"/>
    <w:rsid w:val="00A11022"/>
    <w:rsid w:val="00AA47A6"/>
    <w:rsid w:val="00BA7A81"/>
    <w:rsid w:val="00C60161"/>
    <w:rsid w:val="00C9711E"/>
    <w:rsid w:val="00CB1139"/>
    <w:rsid w:val="00CC32FD"/>
    <w:rsid w:val="00D06F19"/>
    <w:rsid w:val="00EA08E3"/>
    <w:rsid w:val="00F94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E233"/>
  <w15:chartTrackingRefBased/>
  <w15:docId w15:val="{DC30CE52-F769-4AE6-9B62-B8CAE5B2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32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C32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C32F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C32F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C32F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C32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32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32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32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32F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C32F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C32F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C32F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C32F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C32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32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32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32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3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32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32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32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32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32FD"/>
    <w:rPr>
      <w:i/>
      <w:iCs/>
      <w:color w:val="404040" w:themeColor="text1" w:themeTint="BF"/>
    </w:rPr>
  </w:style>
  <w:style w:type="paragraph" w:styleId="Paragrafoelenco">
    <w:name w:val="List Paragraph"/>
    <w:basedOn w:val="Normale"/>
    <w:uiPriority w:val="34"/>
    <w:qFormat/>
    <w:rsid w:val="00CC32FD"/>
    <w:pPr>
      <w:ind w:left="720"/>
      <w:contextualSpacing/>
    </w:pPr>
  </w:style>
  <w:style w:type="character" w:styleId="Enfasiintensa">
    <w:name w:val="Intense Emphasis"/>
    <w:basedOn w:val="Carpredefinitoparagrafo"/>
    <w:uiPriority w:val="21"/>
    <w:qFormat/>
    <w:rsid w:val="00CC32FD"/>
    <w:rPr>
      <w:i/>
      <w:iCs/>
      <w:color w:val="2F5496" w:themeColor="accent1" w:themeShade="BF"/>
    </w:rPr>
  </w:style>
  <w:style w:type="paragraph" w:styleId="Citazioneintensa">
    <w:name w:val="Intense Quote"/>
    <w:basedOn w:val="Normale"/>
    <w:next w:val="Normale"/>
    <w:link w:val="CitazioneintensaCarattere"/>
    <w:uiPriority w:val="30"/>
    <w:qFormat/>
    <w:rsid w:val="00CC3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C32FD"/>
    <w:rPr>
      <w:i/>
      <w:iCs/>
      <w:color w:val="2F5496" w:themeColor="accent1" w:themeShade="BF"/>
    </w:rPr>
  </w:style>
  <w:style w:type="character" w:styleId="Riferimentointenso">
    <w:name w:val="Intense Reference"/>
    <w:basedOn w:val="Carpredefinitoparagrafo"/>
    <w:uiPriority w:val="32"/>
    <w:qFormat/>
    <w:rsid w:val="00CC3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7870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Zuech</dc:creator>
  <cp:keywords/>
  <dc:description/>
  <cp:lastModifiedBy>Francesco Zuech</cp:lastModifiedBy>
  <cp:revision>16</cp:revision>
  <dcterms:created xsi:type="dcterms:W3CDTF">2025-03-05T11:06:00Z</dcterms:created>
  <dcterms:modified xsi:type="dcterms:W3CDTF">2025-03-12T04:30:00Z</dcterms:modified>
</cp:coreProperties>
</file>